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13" w:rsidRDefault="00AA6C76" w:rsidP="00AA6C76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Το απαρέμφατο</w:t>
      </w:r>
    </w:p>
    <w:p w:rsidR="00AA6C76" w:rsidRDefault="00AA6C76" w:rsidP="00AA6C76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2454"/>
        <w:gridCol w:w="2454"/>
        <w:gridCol w:w="2455"/>
        <w:gridCol w:w="2455"/>
      </w:tblGrid>
      <w:tr w:rsidR="00D45B33">
        <w:tc>
          <w:tcPr>
            <w:tcW w:w="9818" w:type="dxa"/>
            <w:gridSpan w:val="4"/>
          </w:tcPr>
          <w:p w:rsidR="00D45B33" w:rsidRDefault="00D45B33" w:rsidP="00AA6C76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Ενεργητική Φωνή</w:t>
            </w:r>
          </w:p>
        </w:tc>
      </w:tr>
      <w:tr w:rsidR="00D45B33">
        <w:tc>
          <w:tcPr>
            <w:tcW w:w="2454" w:type="dxa"/>
          </w:tcPr>
          <w:p w:rsidR="00D45B33" w:rsidRDefault="00D45B33" w:rsidP="00AA6C76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Ενεστώτας</w:t>
            </w:r>
          </w:p>
        </w:tc>
        <w:tc>
          <w:tcPr>
            <w:tcW w:w="2454" w:type="dxa"/>
          </w:tcPr>
          <w:p w:rsidR="00D45B33" w:rsidRDefault="00D45B33" w:rsidP="00AA6C76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Μέλλοντας</w:t>
            </w:r>
          </w:p>
        </w:tc>
        <w:tc>
          <w:tcPr>
            <w:tcW w:w="2455" w:type="dxa"/>
          </w:tcPr>
          <w:p w:rsidR="00D45B33" w:rsidRDefault="00D45B33" w:rsidP="00AA6C76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Αόριστος</w:t>
            </w:r>
          </w:p>
        </w:tc>
        <w:tc>
          <w:tcPr>
            <w:tcW w:w="2455" w:type="dxa"/>
          </w:tcPr>
          <w:p w:rsidR="00D45B33" w:rsidRDefault="00D45B33" w:rsidP="00AA6C76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Παρακείμενος</w:t>
            </w:r>
          </w:p>
        </w:tc>
      </w:tr>
      <w:tr w:rsidR="00D45B33">
        <w:tc>
          <w:tcPr>
            <w:tcW w:w="2454" w:type="dxa"/>
          </w:tcPr>
          <w:p w:rsidR="00D45B33" w:rsidRPr="00D45B33" w:rsidRDefault="00D45B33" w:rsidP="00AA6C7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λύ-ειν</w:t>
            </w:r>
          </w:p>
        </w:tc>
        <w:tc>
          <w:tcPr>
            <w:tcW w:w="2454" w:type="dxa"/>
          </w:tcPr>
          <w:p w:rsidR="00D45B33" w:rsidRPr="00D45B33" w:rsidRDefault="00D45B33" w:rsidP="00AA6C7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λ</w:t>
            </w:r>
            <w:r w:rsidRPr="00D45B33">
              <w:rPr>
                <w:rFonts w:ascii="Arial" w:hAnsi="Arial" w:cs="Arial"/>
                <w:sz w:val="24"/>
                <w:szCs w:val="24"/>
              </w:rPr>
              <w:t>ύ-σειν</w:t>
            </w:r>
          </w:p>
        </w:tc>
        <w:tc>
          <w:tcPr>
            <w:tcW w:w="2455" w:type="dxa"/>
          </w:tcPr>
          <w:p w:rsidR="00D45B33" w:rsidRPr="00D45B33" w:rsidRDefault="00D45B33" w:rsidP="00AA6C7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λῦ-σαι</w:t>
            </w:r>
          </w:p>
        </w:tc>
        <w:tc>
          <w:tcPr>
            <w:tcW w:w="2455" w:type="dxa"/>
          </w:tcPr>
          <w:p w:rsidR="00D45B33" w:rsidRPr="00D45B33" w:rsidRDefault="00D45B33" w:rsidP="00AA6C7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λε-λυ-κέναι</w:t>
            </w:r>
          </w:p>
        </w:tc>
      </w:tr>
    </w:tbl>
    <w:p w:rsidR="00AA6C76" w:rsidRDefault="00AA6C76" w:rsidP="00AA6C76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2454"/>
        <w:gridCol w:w="2454"/>
        <w:gridCol w:w="2455"/>
        <w:gridCol w:w="2455"/>
      </w:tblGrid>
      <w:tr w:rsidR="00D45B33">
        <w:tc>
          <w:tcPr>
            <w:tcW w:w="9818" w:type="dxa"/>
            <w:gridSpan w:val="4"/>
          </w:tcPr>
          <w:p w:rsidR="00D45B33" w:rsidRDefault="00D45B33" w:rsidP="00AA6C76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Μέση Φωνή</w:t>
            </w:r>
          </w:p>
        </w:tc>
      </w:tr>
      <w:tr w:rsidR="00D45B33">
        <w:tc>
          <w:tcPr>
            <w:tcW w:w="2454" w:type="dxa"/>
          </w:tcPr>
          <w:p w:rsidR="00D45B33" w:rsidRDefault="00D45B33" w:rsidP="00AA6C76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Ενεστώτας</w:t>
            </w:r>
          </w:p>
        </w:tc>
        <w:tc>
          <w:tcPr>
            <w:tcW w:w="2454" w:type="dxa"/>
          </w:tcPr>
          <w:p w:rsidR="00D45B33" w:rsidRDefault="00D45B33" w:rsidP="00AA6C76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Μέλλοντας</w:t>
            </w:r>
          </w:p>
        </w:tc>
        <w:tc>
          <w:tcPr>
            <w:tcW w:w="2455" w:type="dxa"/>
          </w:tcPr>
          <w:p w:rsidR="00D45B33" w:rsidRDefault="00D45B33" w:rsidP="00AA6C76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Αόριστος</w:t>
            </w:r>
          </w:p>
        </w:tc>
        <w:tc>
          <w:tcPr>
            <w:tcW w:w="2455" w:type="dxa"/>
          </w:tcPr>
          <w:p w:rsidR="00D45B33" w:rsidRDefault="00D45B33" w:rsidP="00AA6C76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Παρακείμενος</w:t>
            </w:r>
          </w:p>
        </w:tc>
      </w:tr>
      <w:tr w:rsidR="00D45B33">
        <w:tc>
          <w:tcPr>
            <w:tcW w:w="2454" w:type="dxa"/>
          </w:tcPr>
          <w:p w:rsidR="00D45B33" w:rsidRPr="00D45B33" w:rsidRDefault="00D45B33" w:rsidP="00AA6C7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λύ-εσθαι</w:t>
            </w:r>
          </w:p>
        </w:tc>
        <w:tc>
          <w:tcPr>
            <w:tcW w:w="2454" w:type="dxa"/>
          </w:tcPr>
          <w:p w:rsidR="00D45B33" w:rsidRPr="00D45B33" w:rsidRDefault="00D45B33" w:rsidP="00AA6C7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λ</w:t>
            </w:r>
            <w:r w:rsidRPr="00D45B33">
              <w:rPr>
                <w:rFonts w:ascii="Arial" w:hAnsi="Arial" w:cs="Arial"/>
                <w:sz w:val="24"/>
                <w:szCs w:val="24"/>
              </w:rPr>
              <w:t>ύ-σεσθαι</w:t>
            </w:r>
          </w:p>
        </w:tc>
        <w:tc>
          <w:tcPr>
            <w:tcW w:w="2455" w:type="dxa"/>
          </w:tcPr>
          <w:p w:rsidR="00D45B33" w:rsidRPr="00D45B33" w:rsidRDefault="00D45B33" w:rsidP="00AA6C7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λ</w:t>
            </w:r>
            <w:r w:rsidRPr="00D45B33">
              <w:rPr>
                <w:rFonts w:ascii="Arial" w:hAnsi="Arial" w:cs="Arial"/>
                <w:sz w:val="24"/>
                <w:szCs w:val="24"/>
              </w:rPr>
              <w:t>ύ-σασθαι</w:t>
            </w:r>
          </w:p>
        </w:tc>
        <w:tc>
          <w:tcPr>
            <w:tcW w:w="2455" w:type="dxa"/>
          </w:tcPr>
          <w:p w:rsidR="00D45B33" w:rsidRPr="00D45B33" w:rsidRDefault="00D45B33" w:rsidP="00AA6C7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λ</w:t>
            </w:r>
            <w:r w:rsidRPr="00D45B33">
              <w:rPr>
                <w:rFonts w:ascii="Arial" w:hAnsi="Arial" w:cs="Arial"/>
                <w:sz w:val="24"/>
                <w:szCs w:val="24"/>
              </w:rPr>
              <w:t>ε-λῦ-σθαι</w:t>
            </w:r>
          </w:p>
        </w:tc>
      </w:tr>
    </w:tbl>
    <w:p w:rsidR="00D45B33" w:rsidRDefault="00D45B33" w:rsidP="00AA6C76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D45B33" w:rsidRDefault="00D45B33" w:rsidP="00AA6C76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AA6C76" w:rsidRDefault="00AA6C76" w:rsidP="00AA6C76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Το είδος του απαρεμφάτου</w:t>
      </w:r>
    </w:p>
    <w:p w:rsidR="00AA6C76" w:rsidRDefault="00AA6C76" w:rsidP="00AA6C76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AA6C76" w:rsidRPr="00D45B33" w:rsidRDefault="00AA6C76" w:rsidP="00AA6C76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Ειδικό: </w:t>
      </w:r>
      <w:r>
        <w:rPr>
          <w:rFonts w:ascii="Arial" w:hAnsi="Arial" w:cs="Arial"/>
          <w:sz w:val="24"/>
          <w:szCs w:val="24"/>
        </w:rPr>
        <w:t xml:space="preserve">όταν μεταφράζεται με τον σύνδεσμο </w:t>
      </w:r>
      <w:r w:rsidRPr="00D45B33">
        <w:rPr>
          <w:rFonts w:ascii="Arial" w:hAnsi="Arial" w:cs="Arial"/>
          <w:b/>
          <w:bCs/>
          <w:sz w:val="24"/>
          <w:szCs w:val="24"/>
        </w:rPr>
        <w:t>ότι</w:t>
      </w:r>
      <w:r w:rsidR="00D45B33">
        <w:rPr>
          <w:rFonts w:ascii="Arial" w:hAnsi="Arial" w:cs="Arial"/>
          <w:b/>
          <w:bCs/>
          <w:sz w:val="24"/>
          <w:szCs w:val="24"/>
        </w:rPr>
        <w:t>.</w:t>
      </w:r>
    </w:p>
    <w:p w:rsidR="00AA6C76" w:rsidRDefault="009B2313" w:rsidP="00AA6C7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Παράδειγμα 1:</w:t>
      </w:r>
      <w:r w:rsidR="00AA6C76">
        <w:rPr>
          <w:rFonts w:ascii="Arial" w:hAnsi="Arial" w:cs="Arial"/>
          <w:sz w:val="24"/>
          <w:szCs w:val="24"/>
        </w:rPr>
        <w:t xml:space="preserve"> Οἱ δικασταί φασίν (=ισχυρίζονται) </w:t>
      </w:r>
      <w:r w:rsidR="00D45B33">
        <w:rPr>
          <w:rFonts w:ascii="Arial" w:hAnsi="Arial" w:cs="Arial"/>
          <w:sz w:val="24"/>
          <w:szCs w:val="24"/>
        </w:rPr>
        <w:t>τό</w:t>
      </w:r>
      <w:r w:rsidR="00AA6C76">
        <w:rPr>
          <w:rFonts w:ascii="Arial" w:hAnsi="Arial" w:cs="Arial"/>
          <w:sz w:val="24"/>
          <w:szCs w:val="24"/>
        </w:rPr>
        <w:t xml:space="preserve">ν κατήγορον </w:t>
      </w:r>
      <w:r w:rsidR="00AA6C76" w:rsidRPr="00AA6C76">
        <w:rPr>
          <w:rFonts w:ascii="Arial" w:hAnsi="Arial" w:cs="Arial"/>
          <w:b/>
          <w:bCs/>
          <w:sz w:val="24"/>
          <w:szCs w:val="24"/>
        </w:rPr>
        <w:t xml:space="preserve">λέγειν </w:t>
      </w:r>
      <w:r w:rsidR="00AA6C76">
        <w:rPr>
          <w:rFonts w:ascii="Arial" w:hAnsi="Arial" w:cs="Arial"/>
          <w:sz w:val="24"/>
          <w:szCs w:val="24"/>
        </w:rPr>
        <w:t>(=ότι</w:t>
      </w:r>
      <w:r w:rsidR="00D45B33">
        <w:rPr>
          <w:rFonts w:ascii="Arial" w:hAnsi="Arial" w:cs="Arial"/>
          <w:sz w:val="24"/>
          <w:szCs w:val="24"/>
        </w:rPr>
        <w:t xml:space="preserve"> ο κατήγορος</w:t>
      </w:r>
      <w:r w:rsidR="00AA6C76">
        <w:rPr>
          <w:rFonts w:ascii="Arial" w:hAnsi="Arial" w:cs="Arial"/>
          <w:sz w:val="24"/>
          <w:szCs w:val="24"/>
        </w:rPr>
        <w:t xml:space="preserve"> λέει) </w:t>
      </w:r>
      <w:r w:rsidR="00D45B33">
        <w:rPr>
          <w:rFonts w:ascii="Arial" w:hAnsi="Arial" w:cs="Arial"/>
          <w:sz w:val="24"/>
          <w:szCs w:val="24"/>
        </w:rPr>
        <w:t>τή</w:t>
      </w:r>
      <w:r w:rsidR="00AA6C76">
        <w:rPr>
          <w:rFonts w:ascii="Arial" w:hAnsi="Arial" w:cs="Arial"/>
          <w:sz w:val="24"/>
          <w:szCs w:val="24"/>
        </w:rPr>
        <w:t>ν ἀλήθειαν.</w:t>
      </w:r>
    </w:p>
    <w:p w:rsidR="00D45B33" w:rsidRDefault="00D45B33" w:rsidP="00AA6C76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Τελικό:</w:t>
      </w:r>
      <w:r>
        <w:rPr>
          <w:rFonts w:ascii="Arial" w:hAnsi="Arial" w:cs="Arial"/>
          <w:sz w:val="24"/>
          <w:szCs w:val="24"/>
        </w:rPr>
        <w:t xml:space="preserve"> όταν μεταφράζεται με τον σύνδεσμο </w:t>
      </w:r>
      <w:r w:rsidRPr="00D45B33">
        <w:rPr>
          <w:rFonts w:ascii="Arial" w:hAnsi="Arial" w:cs="Arial"/>
          <w:b/>
          <w:bCs/>
          <w:sz w:val="24"/>
          <w:szCs w:val="24"/>
        </w:rPr>
        <w:t>να.</w:t>
      </w:r>
    </w:p>
    <w:p w:rsidR="00D45B33" w:rsidRDefault="009B2313" w:rsidP="00AA6C7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Παράδειγμα 2: </w:t>
      </w:r>
      <w:r w:rsidR="00D45B33">
        <w:rPr>
          <w:rFonts w:ascii="Arial" w:hAnsi="Arial" w:cs="Arial"/>
          <w:sz w:val="24"/>
          <w:szCs w:val="24"/>
        </w:rPr>
        <w:t xml:space="preserve"> Οἱ Ἀθηναῑοι βούλονται (=θ</w:t>
      </w:r>
      <w:r w:rsidR="00930E37">
        <w:rPr>
          <w:rFonts w:ascii="Arial" w:hAnsi="Arial" w:cs="Arial"/>
          <w:sz w:val="24"/>
          <w:szCs w:val="24"/>
        </w:rPr>
        <w:t xml:space="preserve">έλουν) </w:t>
      </w:r>
      <w:r w:rsidR="00930E37" w:rsidRPr="00930E37">
        <w:rPr>
          <w:rFonts w:ascii="Arial" w:hAnsi="Arial" w:cs="Arial"/>
          <w:b/>
          <w:bCs/>
          <w:sz w:val="24"/>
          <w:szCs w:val="24"/>
        </w:rPr>
        <w:t>ποιεῑν</w:t>
      </w:r>
      <w:r w:rsidR="00930E37">
        <w:rPr>
          <w:rFonts w:ascii="Arial" w:hAnsi="Arial" w:cs="Arial"/>
          <w:sz w:val="24"/>
          <w:szCs w:val="24"/>
        </w:rPr>
        <w:t xml:space="preserve"> (=να κάνουν) ταῦτα.</w:t>
      </w:r>
    </w:p>
    <w:p w:rsidR="00930E37" w:rsidRDefault="00930E37" w:rsidP="00AA6C7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30E37" w:rsidRDefault="00930E37" w:rsidP="00930E37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Συντακτική λειτουργία</w:t>
      </w:r>
    </w:p>
    <w:p w:rsidR="00930E37" w:rsidRDefault="00930E37" w:rsidP="00930E37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930E37" w:rsidRDefault="00930E37" w:rsidP="00EC6034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 απαρέμφατο λειτουργεί ως: </w:t>
      </w:r>
      <w:r w:rsidRPr="00930E37">
        <w:rPr>
          <w:rFonts w:ascii="Arial" w:hAnsi="Arial" w:cs="Arial"/>
          <w:b/>
          <w:bCs/>
          <w:sz w:val="24"/>
          <w:szCs w:val="24"/>
        </w:rPr>
        <w:t>α) Αντικείμενο σε προσωπικά ρήματα</w:t>
      </w:r>
      <w:r>
        <w:rPr>
          <w:rFonts w:ascii="Arial" w:hAnsi="Arial" w:cs="Arial"/>
          <w:sz w:val="24"/>
          <w:szCs w:val="24"/>
        </w:rPr>
        <w:t xml:space="preserve"> (δες τα παραπάνω παραδείγματα). Στο πρώτο παράδειγμα το </w:t>
      </w:r>
      <w:r w:rsidRPr="00930E37">
        <w:rPr>
          <w:rFonts w:ascii="Arial" w:hAnsi="Arial" w:cs="Arial"/>
          <w:b/>
          <w:bCs/>
          <w:sz w:val="24"/>
          <w:szCs w:val="24"/>
        </w:rPr>
        <w:t>λέγειν</w:t>
      </w:r>
      <w:r>
        <w:rPr>
          <w:rFonts w:ascii="Arial" w:hAnsi="Arial" w:cs="Arial"/>
          <w:sz w:val="24"/>
          <w:szCs w:val="24"/>
        </w:rPr>
        <w:t xml:space="preserve"> είναι </w:t>
      </w:r>
      <w:r w:rsidRPr="00930E37">
        <w:rPr>
          <w:rFonts w:ascii="Arial" w:hAnsi="Arial" w:cs="Arial"/>
          <w:b/>
          <w:bCs/>
          <w:sz w:val="24"/>
          <w:szCs w:val="24"/>
        </w:rPr>
        <w:t>ειδικό απαρέμφατο ως</w:t>
      </w:r>
      <w:r>
        <w:rPr>
          <w:rFonts w:ascii="Arial" w:hAnsi="Arial" w:cs="Arial"/>
          <w:sz w:val="24"/>
          <w:szCs w:val="24"/>
        </w:rPr>
        <w:t xml:space="preserve"> </w:t>
      </w:r>
      <w:r w:rsidRPr="00930E37">
        <w:rPr>
          <w:rFonts w:ascii="Arial" w:hAnsi="Arial" w:cs="Arial"/>
          <w:b/>
          <w:bCs/>
          <w:sz w:val="24"/>
          <w:szCs w:val="24"/>
        </w:rPr>
        <w:t xml:space="preserve">αντικείμενο στο ρήμα φασίν. </w:t>
      </w:r>
      <w:r>
        <w:rPr>
          <w:rFonts w:ascii="Arial" w:hAnsi="Arial" w:cs="Arial"/>
          <w:sz w:val="24"/>
          <w:szCs w:val="24"/>
        </w:rPr>
        <w:t xml:space="preserve">Στο δεύτερο παράδειγμα το </w:t>
      </w:r>
      <w:r w:rsidRPr="00930E37">
        <w:rPr>
          <w:rFonts w:ascii="Arial" w:hAnsi="Arial" w:cs="Arial"/>
          <w:b/>
          <w:bCs/>
          <w:sz w:val="24"/>
          <w:szCs w:val="24"/>
        </w:rPr>
        <w:t>ποιεῑν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είναι </w:t>
      </w:r>
      <w:r w:rsidRPr="00930E37">
        <w:rPr>
          <w:rFonts w:ascii="Arial" w:hAnsi="Arial" w:cs="Arial"/>
          <w:b/>
          <w:bCs/>
          <w:sz w:val="24"/>
          <w:szCs w:val="24"/>
        </w:rPr>
        <w:t>τελικό απαρέμφατο ως αντικείμενο στο ρήμα βο</w:t>
      </w:r>
      <w:r>
        <w:rPr>
          <w:rFonts w:ascii="Arial" w:hAnsi="Arial" w:cs="Arial"/>
          <w:b/>
          <w:bCs/>
          <w:sz w:val="24"/>
          <w:szCs w:val="24"/>
        </w:rPr>
        <w:t xml:space="preserve">ύλονται </w:t>
      </w:r>
      <w:r>
        <w:rPr>
          <w:rFonts w:ascii="Arial" w:hAnsi="Arial" w:cs="Arial"/>
          <w:sz w:val="24"/>
          <w:szCs w:val="24"/>
        </w:rPr>
        <w:t xml:space="preserve">και </w:t>
      </w:r>
      <w:r>
        <w:rPr>
          <w:rFonts w:ascii="Arial" w:hAnsi="Arial" w:cs="Arial"/>
          <w:b/>
          <w:bCs/>
          <w:sz w:val="24"/>
          <w:szCs w:val="24"/>
        </w:rPr>
        <w:t>β) Υποκείμενο σε απρόσωπα ρήματα (δεῑ= πρέπει, χρή=πρέπει, προσήκει=ταιριάζει, λέγεται, ὁμολογεῑται κλπ.) ή σε απρόσωπες εκφράσεις (ουσιαστικό + ἐστίν π.χ. καιρός ἐστίν</w:t>
      </w:r>
      <w:r w:rsidR="00EC6034">
        <w:rPr>
          <w:rFonts w:ascii="Arial" w:hAnsi="Arial" w:cs="Arial"/>
          <w:b/>
          <w:bCs/>
          <w:sz w:val="24"/>
          <w:szCs w:val="24"/>
        </w:rPr>
        <w:t>, επίθετο +</w:t>
      </w:r>
      <w:r w:rsidR="00EC6034" w:rsidRPr="00EC6034">
        <w:rPr>
          <w:rFonts w:ascii="Arial" w:hAnsi="Arial" w:cs="Arial"/>
          <w:b/>
          <w:bCs/>
          <w:sz w:val="24"/>
          <w:szCs w:val="24"/>
        </w:rPr>
        <w:t xml:space="preserve"> </w:t>
      </w:r>
      <w:r w:rsidR="00EC6034">
        <w:rPr>
          <w:rFonts w:ascii="Arial" w:hAnsi="Arial" w:cs="Arial"/>
          <w:b/>
          <w:bCs/>
          <w:sz w:val="24"/>
          <w:szCs w:val="24"/>
        </w:rPr>
        <w:t>ἐστίν π.χ. ἂξιον ἐστίν ή επίρρημα +</w:t>
      </w:r>
      <w:r w:rsidR="00EC6034" w:rsidRPr="00EC6034">
        <w:rPr>
          <w:rFonts w:ascii="Arial" w:hAnsi="Arial" w:cs="Arial"/>
          <w:b/>
          <w:bCs/>
          <w:sz w:val="24"/>
          <w:szCs w:val="24"/>
        </w:rPr>
        <w:t xml:space="preserve"> </w:t>
      </w:r>
      <w:r w:rsidR="00EC6034">
        <w:rPr>
          <w:rFonts w:ascii="Arial" w:hAnsi="Arial" w:cs="Arial"/>
          <w:b/>
          <w:bCs/>
          <w:sz w:val="24"/>
          <w:szCs w:val="24"/>
        </w:rPr>
        <w:t>ἒχει π.χ. καλῶς ἒχει).</w:t>
      </w:r>
    </w:p>
    <w:p w:rsidR="009B2313" w:rsidRDefault="009B2313" w:rsidP="00EC6034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EC6034" w:rsidRDefault="009B2313" w:rsidP="00EC6034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Υποκ.</w:t>
      </w:r>
    </w:p>
    <w:p w:rsidR="00EC6034" w:rsidRDefault="00EC6034" w:rsidP="00EC603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π.χ. Καιρός ἐστίν </w:t>
      </w:r>
      <w:r w:rsidRPr="00EC6034">
        <w:rPr>
          <w:rFonts w:ascii="Arial" w:hAnsi="Arial" w:cs="Arial"/>
          <w:b/>
          <w:bCs/>
          <w:sz w:val="24"/>
          <w:szCs w:val="24"/>
        </w:rPr>
        <w:t xml:space="preserve">πράττειν </w:t>
      </w:r>
      <w:r>
        <w:rPr>
          <w:rFonts w:ascii="Arial" w:hAnsi="Arial" w:cs="Arial"/>
          <w:sz w:val="24"/>
          <w:szCs w:val="24"/>
        </w:rPr>
        <w:t>ταῦτα.</w:t>
      </w:r>
    </w:p>
    <w:p w:rsidR="00EC6034" w:rsidRDefault="00EC6034" w:rsidP="00EC603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C6034" w:rsidRDefault="00EC6034" w:rsidP="00EC6034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Το υποκείμενο του απαρεμφάτου</w:t>
      </w:r>
    </w:p>
    <w:p w:rsidR="00EC6034" w:rsidRDefault="00EC6034" w:rsidP="00EC6034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EC6034" w:rsidRDefault="00EC6034" w:rsidP="00EC603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Ταυτοπροσωπία: </w:t>
      </w:r>
      <w:r w:rsidR="009B2313">
        <w:rPr>
          <w:rFonts w:ascii="Arial" w:hAnsi="Arial" w:cs="Arial"/>
          <w:sz w:val="24"/>
          <w:szCs w:val="24"/>
        </w:rPr>
        <w:t>έ</w:t>
      </w:r>
      <w:r>
        <w:rPr>
          <w:rFonts w:ascii="Arial" w:hAnsi="Arial" w:cs="Arial"/>
          <w:sz w:val="24"/>
          <w:szCs w:val="24"/>
        </w:rPr>
        <w:t>χουμε όταν το υποκείμενο του απαρεμφάτου είναι το ίδιο με το υποκείμενο του ρήματος. Σ</w:t>
      </w:r>
      <w:r w:rsidR="009B2313">
        <w:rPr>
          <w:rFonts w:ascii="Arial" w:hAnsi="Arial" w:cs="Arial"/>
          <w:sz w:val="24"/>
          <w:szCs w:val="24"/>
        </w:rPr>
        <w:t>΄</w:t>
      </w:r>
      <w:r>
        <w:rPr>
          <w:rFonts w:ascii="Arial" w:hAnsi="Arial" w:cs="Arial"/>
          <w:sz w:val="24"/>
          <w:szCs w:val="24"/>
        </w:rPr>
        <w:t xml:space="preserve"> αυτή την περίπτωση </w:t>
      </w:r>
      <w:r w:rsidRPr="00EC6034">
        <w:rPr>
          <w:rFonts w:ascii="Arial" w:hAnsi="Arial" w:cs="Arial"/>
          <w:b/>
          <w:bCs/>
          <w:sz w:val="24"/>
          <w:szCs w:val="24"/>
        </w:rPr>
        <w:t>το υποκείμενο του απαρεμφάτου</w:t>
      </w:r>
      <w:r>
        <w:rPr>
          <w:rFonts w:ascii="Arial" w:hAnsi="Arial" w:cs="Arial"/>
          <w:sz w:val="24"/>
          <w:szCs w:val="24"/>
        </w:rPr>
        <w:t xml:space="preserve"> βρίσκεται σε </w:t>
      </w:r>
      <w:r w:rsidRPr="00EC6034">
        <w:rPr>
          <w:rFonts w:ascii="Arial" w:hAnsi="Arial" w:cs="Arial"/>
          <w:b/>
          <w:bCs/>
          <w:sz w:val="24"/>
          <w:szCs w:val="24"/>
        </w:rPr>
        <w:t>ονομαστική πτώση</w:t>
      </w:r>
      <w:r>
        <w:rPr>
          <w:rFonts w:ascii="Arial" w:hAnsi="Arial" w:cs="Arial"/>
          <w:sz w:val="24"/>
          <w:szCs w:val="24"/>
        </w:rPr>
        <w:t xml:space="preserve"> (βλέπε παράδειγμα 2).</w:t>
      </w:r>
    </w:p>
    <w:p w:rsidR="00EC6034" w:rsidRPr="00EC6034" w:rsidRDefault="00EC6034" w:rsidP="00EC603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Ετεροπροσωπία: </w:t>
      </w:r>
      <w:r w:rsidR="009B2313">
        <w:rPr>
          <w:rFonts w:ascii="Arial" w:hAnsi="Arial" w:cs="Arial"/>
          <w:sz w:val="24"/>
          <w:szCs w:val="24"/>
        </w:rPr>
        <w:t>έ</w:t>
      </w:r>
      <w:r>
        <w:rPr>
          <w:rFonts w:ascii="Arial" w:hAnsi="Arial" w:cs="Arial"/>
          <w:sz w:val="24"/>
          <w:szCs w:val="24"/>
        </w:rPr>
        <w:t xml:space="preserve">χουμε όταν το υποκείμενο του απαρεμφάτου είναι διαφορετικό από το υποκείμενο του ρήματος. Σ΄ αυτή την περίπτωση </w:t>
      </w:r>
      <w:r w:rsidRPr="00EC6034">
        <w:rPr>
          <w:rFonts w:ascii="Arial" w:hAnsi="Arial" w:cs="Arial"/>
          <w:b/>
          <w:bCs/>
          <w:sz w:val="24"/>
          <w:szCs w:val="24"/>
        </w:rPr>
        <w:t>το</w:t>
      </w:r>
      <w:r>
        <w:rPr>
          <w:rFonts w:ascii="Arial" w:hAnsi="Arial" w:cs="Arial"/>
          <w:sz w:val="24"/>
          <w:szCs w:val="24"/>
        </w:rPr>
        <w:t xml:space="preserve"> </w:t>
      </w:r>
      <w:r w:rsidRPr="00EC6034">
        <w:rPr>
          <w:rFonts w:ascii="Arial" w:hAnsi="Arial" w:cs="Arial"/>
          <w:b/>
          <w:bCs/>
          <w:sz w:val="24"/>
          <w:szCs w:val="24"/>
        </w:rPr>
        <w:t>υποκείμενο του απαρεμφάτου</w:t>
      </w:r>
      <w:r>
        <w:rPr>
          <w:rFonts w:ascii="Arial" w:hAnsi="Arial" w:cs="Arial"/>
          <w:sz w:val="24"/>
          <w:szCs w:val="24"/>
        </w:rPr>
        <w:t xml:space="preserve"> βρίσκεται σε </w:t>
      </w:r>
      <w:r w:rsidRPr="00EC6034">
        <w:rPr>
          <w:rFonts w:ascii="Arial" w:hAnsi="Arial" w:cs="Arial"/>
          <w:b/>
          <w:bCs/>
          <w:sz w:val="24"/>
          <w:szCs w:val="24"/>
        </w:rPr>
        <w:t>αιτιατική πτώση</w:t>
      </w:r>
      <w:r>
        <w:rPr>
          <w:rFonts w:ascii="Arial" w:hAnsi="Arial" w:cs="Arial"/>
          <w:sz w:val="24"/>
          <w:szCs w:val="24"/>
        </w:rPr>
        <w:t xml:space="preserve"> (βλέπε παράδειγμα 1).</w:t>
      </w:r>
    </w:p>
    <w:p w:rsidR="00EC6034" w:rsidRDefault="00EC6034" w:rsidP="00EC6034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930E37" w:rsidRPr="00930E37" w:rsidRDefault="00930E37" w:rsidP="00930E37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930E37" w:rsidRPr="00930E37" w:rsidSect="006E30F8">
      <w:pgSz w:w="11906" w:h="16838"/>
      <w:pgMar w:top="1440" w:right="1152" w:bottom="1440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6E30F8"/>
    <w:rsid w:val="00690DEE"/>
    <w:rsid w:val="006E30F8"/>
    <w:rsid w:val="00930E37"/>
    <w:rsid w:val="009B2313"/>
    <w:rsid w:val="00AA6C76"/>
    <w:rsid w:val="00D45B33"/>
    <w:rsid w:val="00EC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6E30F8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AA6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Το απαρέμφατο</vt:lpstr>
    </vt:vector>
  </TitlesOfParts>
  <Company>HP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 απαρέμφατο</dc:title>
  <dc:creator>mavromanolaki1812@gmail.com</dc:creator>
  <cp:lastModifiedBy>LynxNet5</cp:lastModifiedBy>
  <cp:revision>2</cp:revision>
  <dcterms:created xsi:type="dcterms:W3CDTF">2021-04-14T15:11:00Z</dcterms:created>
  <dcterms:modified xsi:type="dcterms:W3CDTF">2021-04-14T15:11:00Z</dcterms:modified>
</cp:coreProperties>
</file>