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F6" w:rsidRDefault="00DF20A5">
      <w:pPr>
        <w:rPr>
          <w:b/>
          <w:sz w:val="24"/>
          <w:szCs w:val="24"/>
        </w:rPr>
      </w:pPr>
      <w:r w:rsidRPr="00DF20A5">
        <w:rPr>
          <w:b/>
          <w:sz w:val="24"/>
          <w:szCs w:val="24"/>
        </w:rPr>
        <w:t xml:space="preserve">ΕΝΟΤΗΤΑ 9 </w:t>
      </w:r>
      <w:r>
        <w:rPr>
          <w:b/>
          <w:sz w:val="24"/>
          <w:szCs w:val="24"/>
        </w:rPr>
        <w:t xml:space="preserve">   Η ΚΑΛΛΙΠΑΤΕΙΡΑ</w:t>
      </w:r>
    </w:p>
    <w:p w:rsidR="00DF20A5" w:rsidRDefault="00DF20A5">
      <w:pPr>
        <w:rPr>
          <w:b/>
          <w:sz w:val="24"/>
          <w:szCs w:val="24"/>
        </w:rPr>
      </w:pPr>
    </w:p>
    <w:p w:rsidR="00DF20A5" w:rsidRDefault="00DF20A5" w:rsidP="00DF20A5">
      <w:pPr>
        <w:rPr>
          <w:b/>
          <w:sz w:val="24"/>
          <w:szCs w:val="24"/>
        </w:rPr>
      </w:pPr>
      <w:r>
        <w:rPr>
          <w:b/>
          <w:sz w:val="24"/>
          <w:szCs w:val="24"/>
        </w:rPr>
        <w:t>Α. ΚΕΙΜΕΝΟ – ΜΕΤΑΦΡΑΣΗ</w:t>
      </w:r>
    </w:p>
    <w:p w:rsidR="00DF20A5" w:rsidRPr="009773FB" w:rsidRDefault="00DF20A5" w:rsidP="00DF20A5">
      <w:pPr>
        <w:rPr>
          <w:b/>
          <w:sz w:val="24"/>
          <w:szCs w:val="24"/>
        </w:rPr>
      </w:pPr>
    </w:p>
    <w:p w:rsidR="00DF20A5" w:rsidRPr="00DF20A5" w:rsidRDefault="00DF20A5" w:rsidP="00DF20A5">
      <w:pPr>
        <w:jc w:val="center"/>
        <w:rPr>
          <w:b/>
          <w:sz w:val="24"/>
          <w:szCs w:val="24"/>
        </w:rPr>
      </w:pPr>
      <w:r w:rsidRPr="00DF20A5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Η Καλλιπάτειρα</w:t>
      </w:r>
    </w:p>
    <w:p w:rsidR="00DF20A5" w:rsidRPr="00DF20A5" w:rsidRDefault="00DF20A5" w:rsidP="00DF20A5">
      <w:pPr>
        <w:spacing w:after="0" w:line="390" w:lineRule="atLeast"/>
        <w:ind w:left="75" w:right="75" w:firstLine="240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DF20A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4296"/>
      </w:tblGrid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Κατὰ δὲ τὴν ἐς Ὀλυμπίαν ὁδόν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Στην οδό που οδηγεί στην Ολυμπία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ἔστιν ὄρος πέτραις ὑψηλαῖς ἀπότομον, Τυπαῖον καλούμενον.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υπάρχει ένα απόκρημνο βουνό με ψηλούς βράχους, που ονομάζεται Τυπαίο.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Κατὰ τούτου τὰς γυναῖκας Ἠλείοις ἐστὶν ὠθεῖν νόμος,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Υπάρχει νόμος στους Ηλείους σ' αυτό να πετούν τις γυναίκες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ἤν φωραθῶσιν ἐς τὸν ἀγῶνα ἐλθοῦσαι τὸν Ὀλυμπικὸν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 αποκαλυφθούν να έχουν έρθει στο χώρο της Ολυμπίας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ἢ καὶ ὅλως ἐν ταῖς ἀπειρημέναις σφίσιν ἡμέραις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ή και γενικά κατά τις απαγορευμένες γι’ αυτές μέρες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διαβᾶσαι τὸν Ἀλφειόν.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έχουν περάσει τον Αλφειό.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Οὐ μὴν οὐδὲ ἁλῶναι λέγουσιν οὐδεμίαν,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Ούτε και λένε ότι πιάστηκε καμιά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ὅτι μὴ Καλλιπάτειραν μόνην,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παρά μόνο η Καλλιπάτειρα,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ἥ ὑπὸ τινων καὶ Φερενίκη καλεῖται.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η οποία από μερικούς ονομάζεται και Φερενίκη.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Αὕτη προαποθανόντος αὐτῇ τοῦ ἀνδρός,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Αυτή, επειδή είχε πεθάνει νωρίτερα ο σύζυγός της,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ἐξεικάσασα αὑτὴν τὰ πάντα ἀνδρὶ γυμναστῇ,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αφού μεταμφιέστηκε εντελώς σε άντρα γυμναστή</w:t>
            </w:r>
            <w:r w:rsidRPr="009773FB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lastRenderedPageBreak/>
              <w:t>ἤγαγεν ἐς Ὀλυμπίαν τὸν υἱὸν μαχούμενον·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έφερε στην Ολυμπία το γιο της για να αγωνιστεί·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νικῶντος δὲ τοῦ Πεισιρόδου,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μόλις, λοιπόν, νίκησε ο Πεισιρόδης,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τὸ ἔρυμα ἐν ᾧ τοὺς γυμναστὰς ἔχουσιν ἀπειλημμένους,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 φράκτη με τον οποίο έχουν τους γυμναστές περιορισμένους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τοῦτο ὑπερπηδῶσα ἡ Καλλιπάτειρα ἐγυμνώθη.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καθώς τον πηδούσε η Καλλιπάτειρα έμεινε γυμνή.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Φωραθείσης δὲ ὅτι εἴη γυνή,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Αν και αποκαλύφθηκε ότι ήταν γυναίκα,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ταύτην ἀφιᾶσιν ἀζήμιον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την άφησαν ατιμώρητη,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καὶ τῷ πατρί καὶ ἀδελφοῖς αὐτῆς καὶ τῷ παιδί αἰδῶ νέμοντες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και στον πατέρα της και στα αδέλφια της και στο γιο της αποδίδοντας σεβασμό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–ὑπῆρχον δὴ ἅπασιν αὐτοῖς Ὀλυμπικαὶ νῖκαι-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-γιατί είχαν νικήσει όλοι στους Ολυμπιακούς Αγώνες-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ἐποίησαν δὲ νόμον ἐς τὸ ἔπειτα ἐπὶ τοῖς γυμναστικοῖς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θεσμοθέτησαν όμως νόμο για τους γυμναστές στο εξής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γυμνοὺς σφᾶς ἐς τὸν ἀγῶνα ἐσέρχεσθαι.</w:t>
            </w:r>
          </w:p>
        </w:tc>
        <w:tc>
          <w:tcPr>
            <w:tcW w:w="2500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να μπαίνουν γυμνοί στους αγώνες.</w:t>
            </w:r>
          </w:p>
        </w:tc>
      </w:tr>
      <w:tr w:rsidR="00DF20A5" w:rsidRPr="00DF20A5" w:rsidTr="00DF20A5">
        <w:trPr>
          <w:jc w:val="center"/>
        </w:trPr>
        <w:tc>
          <w:tcPr>
            <w:tcW w:w="2500" w:type="pct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00" w:type="pct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F20A5" w:rsidRPr="00DF20A5" w:rsidRDefault="00DF20A5" w:rsidP="00DF20A5">
            <w:pPr>
              <w:spacing w:after="0" w:line="390" w:lineRule="atLeast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DF20A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Παυσανίας, Ἑλλάδος Περιήγησις 5.6.7-8 (διασκευὴ)</w:t>
            </w:r>
          </w:p>
        </w:tc>
      </w:tr>
    </w:tbl>
    <w:p w:rsidR="00DF20A5" w:rsidRP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F20A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 </w:t>
      </w:r>
    </w:p>
    <w:p w:rsidR="00DF20A5" w:rsidRDefault="00DF20A5" w:rsidP="000636E0">
      <w:pPr>
        <w:spacing w:after="0" w:line="390" w:lineRule="atLeast"/>
        <w:ind w:left="75" w:right="75" w:firstLine="240"/>
        <w:jc w:val="right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DF20A5">
        <w:rPr>
          <w:rFonts w:ascii="Calibri" w:eastAsia="Times New Roman" w:hAnsi="Calibri" w:cs="Calibri"/>
          <w:color w:val="000000"/>
          <w:sz w:val="30"/>
          <w:szCs w:val="30"/>
          <w:lang w:eastAsia="el-GR"/>
        </w:rPr>
        <w:t>© Γιάννης Παπαθανασίου</w:t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DF20A5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Γ. ΣΥΝΤΑΞΗ</w:t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ΕΠΙΡΡΗΜΑΤΙΚΕΣ ΜΕΤΟΧΕΣ ΚΑΙ ΚΑΤΗΓΟΡΗΜΑΤΙΚΗ ΜΕΤΟΧΗ</w:t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Για τη θεωρία </w:t>
      </w:r>
      <w:r w:rsidR="000636E0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των μετοχών </w:t>
      </w: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βλ. σχολικό βιβλίο σελ. 73-74.</w:t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Για την κλίση των μετοχών βλ. ΓΑΕ σελ. 114, 116, 117.</w:t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F20A5" w:rsidRPr="009773FB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 w:rsidRPr="009773FB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lastRenderedPageBreak/>
        <w:t>Θυμόμαστε ότι:</w:t>
      </w:r>
    </w:p>
    <w:p w:rsidR="00DF20A5" w:rsidRPr="009773FB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</w:p>
    <w:p w:rsidR="00DF20A5" w:rsidRPr="00DF20A5" w:rsidRDefault="00DF20A5" w:rsidP="00DF20A5">
      <w:pPr>
        <w:shd w:val="clear" w:color="auto" w:fill="FFFFFF"/>
        <w:spacing w:after="0" w:line="240" w:lineRule="auto"/>
        <w:rPr>
          <w:rFonts w:eastAsia="Times New Roman" w:cstheme="minorHAnsi"/>
          <w:color w:val="111111"/>
          <w:sz w:val="26"/>
          <w:szCs w:val="26"/>
          <w:lang w:eastAsia="el-GR"/>
        </w:rPr>
      </w:pPr>
      <w:r w:rsidRPr="00DF20A5">
        <w:rPr>
          <w:rFonts w:eastAsia="Times New Roman" w:cstheme="minorHAnsi"/>
          <w:color w:val="111111"/>
          <w:sz w:val="26"/>
          <w:szCs w:val="26"/>
          <w:lang w:eastAsia="el-GR"/>
        </w:rPr>
        <w:t>Η Μετοχή είναι ονοματικός τύπος του ρήματος. Συγκεκριμένα πρόκειται για ρηματικό επίθετο που</w:t>
      </w:r>
      <w:r w:rsidRPr="00DF20A5">
        <w:rPr>
          <w:rFonts w:eastAsia="Times New Roman" w:cstheme="minorHAnsi"/>
          <w:b/>
          <w:bCs/>
          <w:color w:val="111111"/>
          <w:sz w:val="26"/>
          <w:lang w:eastAsia="el-GR"/>
        </w:rPr>
        <w:t> μετέχει</w:t>
      </w:r>
      <w:r w:rsidRPr="00DF20A5">
        <w:rPr>
          <w:rFonts w:eastAsia="Times New Roman" w:cstheme="minorHAnsi"/>
          <w:color w:val="111111"/>
          <w:sz w:val="26"/>
          <w:szCs w:val="26"/>
          <w:lang w:eastAsia="el-GR"/>
        </w:rPr>
        <w:t> στις ιδιότητες τόσο του ρήματος  όσο και του επιθέτου.</w:t>
      </w:r>
    </w:p>
    <w:p w:rsidR="00DF20A5" w:rsidRPr="00DF20A5" w:rsidRDefault="00DF20A5" w:rsidP="00DF20A5">
      <w:pPr>
        <w:shd w:val="clear" w:color="auto" w:fill="FFFFFF"/>
        <w:spacing w:before="150" w:after="0" w:line="240" w:lineRule="auto"/>
        <w:outlineLvl w:val="3"/>
        <w:rPr>
          <w:rFonts w:eastAsia="Times New Roman" w:cstheme="minorHAnsi"/>
          <w:b/>
          <w:bCs/>
          <w:color w:val="333333"/>
          <w:sz w:val="27"/>
          <w:szCs w:val="27"/>
          <w:lang w:eastAsia="el-GR"/>
        </w:rPr>
      </w:pPr>
      <w:r w:rsidRPr="00DF20A5">
        <w:rPr>
          <w:rFonts w:eastAsia="Times New Roman" w:cstheme="minorHAnsi"/>
          <w:b/>
          <w:bCs/>
          <w:color w:val="333333"/>
          <w:sz w:val="27"/>
          <w:lang w:eastAsia="el-GR"/>
        </w:rPr>
        <w:t>Είδη μετοχών</w:t>
      </w:r>
    </w:p>
    <w:p w:rsidR="00DF20A5" w:rsidRPr="00DF20A5" w:rsidRDefault="00DF20A5" w:rsidP="00DF20A5">
      <w:pPr>
        <w:numPr>
          <w:ilvl w:val="0"/>
          <w:numId w:val="2"/>
        </w:numPr>
        <w:shd w:val="clear" w:color="auto" w:fill="FFFFFF"/>
        <w:spacing w:before="120" w:after="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b/>
          <w:bCs/>
          <w:color w:val="993300"/>
          <w:sz w:val="24"/>
          <w:szCs w:val="24"/>
          <w:lang w:eastAsia="el-GR"/>
        </w:rPr>
        <w:t>Επιθετική:</w:t>
      </w: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 έναρθρη, αλλά και σπανιότερα άναρθρη μεταφράζεται με το «που».</w:t>
      </w:r>
    </w:p>
    <w:p w:rsidR="00DF20A5" w:rsidRPr="00DF20A5" w:rsidRDefault="00DF20A5" w:rsidP="00DF20A5">
      <w:pPr>
        <w:numPr>
          <w:ilvl w:val="0"/>
          <w:numId w:val="2"/>
        </w:numPr>
        <w:shd w:val="clear" w:color="auto" w:fill="FFFFFF"/>
        <w:spacing w:before="120" w:after="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b/>
          <w:bCs/>
          <w:color w:val="993300"/>
          <w:sz w:val="24"/>
          <w:szCs w:val="24"/>
          <w:lang w:eastAsia="el-GR"/>
        </w:rPr>
        <w:t>Κατηγορηματική:</w:t>
      </w: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 μεταφ</w:t>
      </w:r>
      <w:r w:rsidR="009773FB">
        <w:rPr>
          <w:rFonts w:eastAsia="Times New Roman" w:cstheme="minorHAnsi"/>
          <w:color w:val="111111"/>
          <w:sz w:val="24"/>
          <w:szCs w:val="24"/>
          <w:lang w:eastAsia="el-GR"/>
        </w:rPr>
        <w:t>ράζεται με το «ότι» και το «να» και υπάρχει μετά από ορισμένα ρήματα (βλ. σελ. 74 σχολικού βιβλίου)</w:t>
      </w:r>
    </w:p>
    <w:p w:rsidR="00DF20A5" w:rsidRPr="00DF20A5" w:rsidRDefault="00DF20A5" w:rsidP="00DF20A5">
      <w:pPr>
        <w:numPr>
          <w:ilvl w:val="0"/>
          <w:numId w:val="2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b/>
          <w:bCs/>
          <w:color w:val="993300"/>
          <w:sz w:val="24"/>
          <w:szCs w:val="24"/>
          <w:lang w:eastAsia="el-GR"/>
        </w:rPr>
        <w:t>Επιρρηματική:</w:t>
      </w:r>
    </w:p>
    <w:p w:rsidR="00DF20A5" w:rsidRPr="00DF20A5" w:rsidRDefault="009773FB" w:rsidP="00DF20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>
        <w:rPr>
          <w:rFonts w:eastAsia="Times New Roman" w:cstheme="minorHAnsi"/>
          <w:color w:val="111111"/>
          <w:sz w:val="24"/>
          <w:szCs w:val="24"/>
          <w:lang w:eastAsia="el-GR"/>
        </w:rPr>
        <w:t>χρονική → σε αόριστο (συνήθως</w:t>
      </w:r>
      <w:r w:rsidR="00DF20A5" w:rsidRPr="00DF20A5">
        <w:rPr>
          <w:rFonts w:eastAsia="Times New Roman" w:cstheme="minorHAnsi"/>
          <w:color w:val="111111"/>
          <w:sz w:val="24"/>
          <w:szCs w:val="24"/>
          <w:lang w:eastAsia="el-GR"/>
        </w:rPr>
        <w:t>),</w:t>
      </w:r>
    </w:p>
    <w:p w:rsidR="00DF20A5" w:rsidRPr="00DF20A5" w:rsidRDefault="00DF20A5" w:rsidP="00DF20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τελική → σε μέλλοντα</w:t>
      </w:r>
      <w:r w:rsidR="009773FB">
        <w:rPr>
          <w:rFonts w:eastAsia="Times New Roman" w:cstheme="minorHAnsi"/>
          <w:color w:val="111111"/>
          <w:sz w:val="24"/>
          <w:szCs w:val="24"/>
          <w:lang w:eastAsia="el-GR"/>
        </w:rPr>
        <w:t xml:space="preserve"> (συνήθως)</w:t>
      </w: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,</w:t>
      </w:r>
    </w:p>
    <w:p w:rsidR="00DF20A5" w:rsidRPr="00DF20A5" w:rsidRDefault="00DF20A5" w:rsidP="00DF20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τροπική → σε ενεστώτα</w:t>
      </w:r>
      <w:r w:rsidR="009773FB">
        <w:rPr>
          <w:rFonts w:eastAsia="Times New Roman" w:cstheme="minorHAnsi"/>
          <w:color w:val="111111"/>
          <w:sz w:val="24"/>
          <w:szCs w:val="24"/>
          <w:lang w:eastAsia="el-GR"/>
        </w:rPr>
        <w:t xml:space="preserve"> (συνήθως)</w:t>
      </w: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,</w:t>
      </w:r>
    </w:p>
    <w:p w:rsidR="00DF20A5" w:rsidRPr="00DF20A5" w:rsidRDefault="00DF20A5" w:rsidP="00DF20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υποθετική,</w:t>
      </w:r>
    </w:p>
    <w:p w:rsidR="00DF20A5" w:rsidRPr="00DF20A5" w:rsidRDefault="00DF20A5" w:rsidP="009773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εναντιωματική,</w:t>
      </w:r>
    </w:p>
    <w:p w:rsidR="00DF20A5" w:rsidRPr="00DF20A5" w:rsidRDefault="00DF20A5" w:rsidP="00DF20A5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111111"/>
          <w:sz w:val="24"/>
          <w:szCs w:val="24"/>
          <w:lang w:eastAsia="el-GR"/>
        </w:rPr>
      </w:pPr>
      <w:r w:rsidRPr="00DF20A5">
        <w:rPr>
          <w:rFonts w:eastAsia="Times New Roman" w:cstheme="minorHAnsi"/>
          <w:color w:val="111111"/>
          <w:sz w:val="24"/>
          <w:szCs w:val="24"/>
          <w:lang w:eastAsia="el-GR"/>
        </w:rPr>
        <w:t>αιτιολογική.</w:t>
      </w:r>
    </w:p>
    <w:p w:rsidR="00DF20A5" w:rsidRPr="00DF20A5" w:rsidRDefault="00DF20A5" w:rsidP="00DF20A5">
      <w:pPr>
        <w:spacing w:after="0" w:line="390" w:lineRule="atLeast"/>
        <w:ind w:left="75" w:right="75" w:firstLine="240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>ΑΣΚΗΣΕΙΣ:</w:t>
      </w:r>
    </w:p>
    <w:p w:rsidR="00DF20A5" w:rsidRDefault="00DF20A5" w:rsidP="009773FB">
      <w:pPr>
        <w:pStyle w:val="a6"/>
        <w:numPr>
          <w:ilvl w:val="1"/>
          <w:numId w:val="3"/>
        </w:numPr>
        <w:spacing w:after="0" w:line="390" w:lineRule="atLeast"/>
        <w:ind w:right="75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Κάντε τις ασκήσεις της ενότητας στο σχολικό βιβλίο.</w:t>
      </w:r>
    </w:p>
    <w:p w:rsidR="009773FB" w:rsidRDefault="009773FB" w:rsidP="009773FB">
      <w:pPr>
        <w:pStyle w:val="a6"/>
        <w:spacing w:after="0" w:line="390" w:lineRule="atLeast"/>
        <w:ind w:left="644" w:right="75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:rsidR="009773FB" w:rsidRPr="009773FB" w:rsidRDefault="009773FB" w:rsidP="009773FB">
      <w:pPr>
        <w:pStyle w:val="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11111"/>
          <w:sz w:val="26"/>
          <w:szCs w:val="26"/>
        </w:rPr>
      </w:pPr>
      <w:r w:rsidRPr="009773FB">
        <w:rPr>
          <w:rFonts w:asciiTheme="minorHAnsi" w:hAnsiTheme="minorHAnsi" w:cstheme="minorHAnsi"/>
          <w:color w:val="111111"/>
          <w:sz w:val="26"/>
          <w:szCs w:val="26"/>
        </w:rPr>
        <w:t>Να εντοπίσετε και να αναγνωρίσετε τις μετοχές στις παρακάτω προτάσεις: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004" w:firstLine="76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t>1.  Ἐπολέμει τοῖς Θρᾳξὶ τοῖς ὑπὲρ Ἑλλήσποντον οἰκοῦσι.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644"/>
        <w:rPr>
          <w:rFonts w:ascii="Roboto" w:hAnsi="Roboto"/>
          <w:color w:val="111111"/>
          <w:sz w:val="26"/>
          <w:szCs w:val="26"/>
        </w:rPr>
      </w:pPr>
    </w:p>
    <w:p w:rsidR="009773FB" w:rsidRDefault="009773FB" w:rsidP="009773FB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t xml:space="preserve">Ὁ δὲ Θηραμένης ὥσπερ εἰκὸς καὶ θεοὺς ἐπεκαλεῖτο καὶ ἀνθρώπους </w:t>
      </w:r>
      <w:r w:rsidRPr="009773FB">
        <w:rPr>
          <w:rFonts w:ascii="Roboto" w:hAnsi="Roboto"/>
          <w:color w:val="111111"/>
          <w:sz w:val="26"/>
          <w:szCs w:val="26"/>
        </w:rPr>
        <w:t>καθορᾶν τὰ γιγνόμενα.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3</w:t>
      </w:r>
      <w:r w:rsidRPr="009773FB">
        <w:rPr>
          <w:rFonts w:ascii="Roboto" w:hAnsi="Roboto"/>
          <w:color w:val="111111"/>
          <w:sz w:val="26"/>
          <w:szCs w:val="26"/>
        </w:rPr>
        <w:t>. Χρῇ γυναικὶ τῶν οὐσῶν, οἶμαι δὲ καὶ τῶν γεγενημένων καὶ τῶν ἐσομένων, χαλεπωτάτῃ.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  <w:r w:rsidRPr="009773FB">
        <w:rPr>
          <w:rFonts w:ascii="Roboto" w:hAnsi="Roboto"/>
          <w:color w:val="111111"/>
          <w:sz w:val="26"/>
          <w:szCs w:val="26"/>
        </w:rPr>
        <w:br/>
      </w:r>
      <w:r>
        <w:rPr>
          <w:rFonts w:ascii="Roboto" w:hAnsi="Roboto"/>
          <w:color w:val="111111"/>
          <w:sz w:val="26"/>
          <w:szCs w:val="26"/>
        </w:rPr>
        <w:t>4</w:t>
      </w:r>
      <w:r w:rsidRPr="009773FB">
        <w:rPr>
          <w:rFonts w:ascii="Roboto" w:hAnsi="Roboto"/>
          <w:color w:val="111111"/>
          <w:sz w:val="26"/>
          <w:szCs w:val="26"/>
        </w:rPr>
        <w:t>. Ὁ μὴ δαρεὶς οὐ παιδεύεται.</w:t>
      </w:r>
      <w:r w:rsidRPr="009773FB">
        <w:rPr>
          <w:rFonts w:ascii="Roboto" w:hAnsi="Roboto"/>
          <w:color w:val="111111"/>
          <w:sz w:val="26"/>
          <w:szCs w:val="26"/>
        </w:rPr>
        <w:br/>
      </w:r>
      <w:r w:rsidRPr="009773FB">
        <w:rPr>
          <w:rFonts w:ascii="Roboto" w:hAnsi="Roboto"/>
          <w:color w:val="111111"/>
          <w:sz w:val="26"/>
          <w:szCs w:val="26"/>
        </w:rPr>
        <w:br/>
      </w:r>
      <w:r w:rsidRPr="009773FB">
        <w:rPr>
          <w:rFonts w:ascii="Roboto" w:hAnsi="Roboto"/>
          <w:color w:val="111111"/>
          <w:sz w:val="26"/>
          <w:szCs w:val="26"/>
        </w:rPr>
        <w:br/>
      </w:r>
      <w:r>
        <w:rPr>
          <w:rFonts w:ascii="Roboto" w:hAnsi="Roboto"/>
          <w:color w:val="111111"/>
          <w:sz w:val="26"/>
          <w:szCs w:val="26"/>
        </w:rPr>
        <w:t>5</w:t>
      </w:r>
      <w:r w:rsidRPr="009773FB">
        <w:rPr>
          <w:rFonts w:ascii="Roboto" w:hAnsi="Roboto"/>
          <w:color w:val="111111"/>
          <w:sz w:val="26"/>
          <w:szCs w:val="26"/>
        </w:rPr>
        <w:t>. Φοβούμενοι τὴν ὁδὸν ὅμως συνηκολούθησαν.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  <w:r w:rsidRPr="009773FB">
        <w:rPr>
          <w:rFonts w:ascii="Roboto" w:hAnsi="Roboto"/>
          <w:color w:val="111111"/>
          <w:sz w:val="26"/>
          <w:szCs w:val="26"/>
        </w:rPr>
        <w:br/>
      </w:r>
      <w:r>
        <w:rPr>
          <w:rFonts w:ascii="Roboto" w:hAnsi="Roboto"/>
          <w:color w:val="111111"/>
          <w:sz w:val="26"/>
          <w:szCs w:val="26"/>
        </w:rPr>
        <w:t xml:space="preserve">6. </w:t>
      </w:r>
      <w:r w:rsidRPr="009773FB">
        <w:rPr>
          <w:rFonts w:ascii="Roboto" w:hAnsi="Roboto"/>
          <w:color w:val="111111"/>
          <w:sz w:val="26"/>
          <w:szCs w:val="26"/>
        </w:rPr>
        <w:t>Συλλαμβάνει Κῦρον ὡς ἀποκτενῶν.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7</w:t>
      </w:r>
      <w:r w:rsidRPr="009773FB">
        <w:rPr>
          <w:rFonts w:ascii="Roboto" w:hAnsi="Roboto"/>
          <w:color w:val="111111"/>
          <w:sz w:val="26"/>
          <w:szCs w:val="26"/>
        </w:rPr>
        <w:t>. Δίκαια δράσας συμμάχους τοὺς θεοὺς ἕξεις.</w:t>
      </w:r>
      <w:r w:rsidRPr="009773FB">
        <w:rPr>
          <w:rFonts w:ascii="Roboto" w:hAnsi="Roboto"/>
          <w:color w:val="111111"/>
          <w:sz w:val="26"/>
          <w:szCs w:val="26"/>
        </w:rPr>
        <w:br/>
      </w:r>
      <w:r>
        <w:rPr>
          <w:rFonts w:ascii="Roboto" w:hAnsi="Roboto"/>
          <w:color w:val="111111"/>
          <w:sz w:val="26"/>
          <w:szCs w:val="26"/>
        </w:rPr>
        <w:lastRenderedPageBreak/>
        <w:br/>
        <w:t>8</w:t>
      </w:r>
      <w:r w:rsidRPr="009773FB">
        <w:rPr>
          <w:rFonts w:ascii="Roboto" w:hAnsi="Roboto"/>
          <w:color w:val="111111"/>
          <w:sz w:val="26"/>
          <w:szCs w:val="26"/>
        </w:rPr>
        <w:t>. Ὁ μέντοι Ἀγησίλαος ἐκείνους καίπερ ὁρῶν οὐκ ἐδίωκεν.</w:t>
      </w: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</w:p>
    <w:p w:rsidR="009773FB" w:rsidRDefault="009773FB" w:rsidP="009773FB">
      <w:pPr>
        <w:pStyle w:val="Web"/>
        <w:shd w:val="clear" w:color="auto" w:fill="FFFFFF"/>
        <w:spacing w:before="0" w:beforeAutospacing="0" w:after="0" w:afterAutospacing="0"/>
        <w:ind w:left="1440"/>
        <w:rPr>
          <w:rFonts w:ascii="Roboto" w:hAnsi="Roboto"/>
          <w:color w:val="111111"/>
          <w:sz w:val="26"/>
          <w:szCs w:val="26"/>
        </w:rPr>
      </w:pPr>
    </w:p>
    <w:p w:rsidR="009773FB" w:rsidRPr="009773FB" w:rsidRDefault="009773FB" w:rsidP="009773FB">
      <w:pPr>
        <w:pStyle w:val="Web"/>
        <w:numPr>
          <w:ilvl w:val="1"/>
          <w:numId w:val="3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111111"/>
          <w:sz w:val="26"/>
          <w:szCs w:val="26"/>
        </w:rPr>
      </w:pPr>
      <w:r w:rsidRPr="009773FB">
        <w:rPr>
          <w:rFonts w:asciiTheme="minorHAnsi" w:hAnsiTheme="minorHAnsi" w:cstheme="minorHAnsi"/>
          <w:color w:val="111111"/>
          <w:sz w:val="26"/>
          <w:szCs w:val="26"/>
        </w:rPr>
        <w:t>Να εντοπίσετε και να αναγνωρίσετε τις επιρρηματικές μετοχές στις παρακάτω προτάσεις:</w:t>
      </w:r>
    </w:p>
    <w:p w:rsidR="009773FB" w:rsidRDefault="009773FB" w:rsidP="009773FB">
      <w:pPr>
        <w:pStyle w:val="Web"/>
        <w:numPr>
          <w:ilvl w:val="0"/>
          <w:numId w:val="5"/>
        </w:numPr>
        <w:shd w:val="clear" w:color="auto" w:fill="FFFFFF"/>
        <w:spacing w:before="0" w:beforeAutospacing="0" w:after="240" w:afterAutospacing="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t>Ἕλλην ὢν Ἕλληνας ἀδικεῖ.</w:t>
      </w:r>
    </w:p>
    <w:p w:rsidR="009773FB" w:rsidRDefault="009773FB" w:rsidP="009773FB">
      <w:pPr>
        <w:pStyle w:val="Web"/>
        <w:shd w:val="clear" w:color="auto" w:fill="FFFFFF"/>
        <w:spacing w:before="0" w:beforeAutospacing="0" w:after="240" w:afterAutospacing="0"/>
        <w:ind w:left="108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2. Ἀρταξέρξου βασιλεύοντος Κῦρος ἐπὶ Σοῦσα ἐστράτευσεν.</w:t>
      </w:r>
    </w:p>
    <w:p w:rsidR="009773FB" w:rsidRDefault="009773FB" w:rsidP="009773FB">
      <w:pPr>
        <w:pStyle w:val="Web"/>
        <w:shd w:val="clear" w:color="auto" w:fill="FFFFFF"/>
        <w:spacing w:before="0" w:beforeAutospacing="0" w:after="240" w:afterAutospacing="0"/>
        <w:ind w:left="1080"/>
        <w:rPr>
          <w:rFonts w:ascii="Roboto" w:hAnsi="Roboto"/>
          <w:color w:val="111111"/>
          <w:sz w:val="26"/>
          <w:szCs w:val="26"/>
        </w:rPr>
      </w:pPr>
    </w:p>
    <w:p w:rsidR="009773FB" w:rsidRDefault="009773FB" w:rsidP="009773FB">
      <w:pPr>
        <w:pStyle w:val="Web"/>
        <w:numPr>
          <w:ilvl w:val="1"/>
          <w:numId w:val="2"/>
        </w:numPr>
        <w:shd w:val="clear" w:color="auto" w:fill="FFFFFF"/>
        <w:spacing w:before="0" w:beforeAutospacing="0" w:after="240" w:afterAutospacing="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t>Ταῦτα ἐποίουν γενομένου σκότους.</w:t>
      </w:r>
    </w:p>
    <w:p w:rsidR="009773FB" w:rsidRDefault="009773FB" w:rsidP="009773FB">
      <w:pPr>
        <w:pStyle w:val="Web"/>
        <w:shd w:val="clear" w:color="auto" w:fill="FFFFFF"/>
        <w:spacing w:before="0" w:beforeAutospacing="0" w:after="240" w:afterAutospacing="0"/>
        <w:ind w:left="108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4.  Ἐπαιάνιζον ἅμα πλέοντες.</w:t>
      </w:r>
    </w:p>
    <w:p w:rsidR="009773FB" w:rsidRDefault="009773FB" w:rsidP="009773FB">
      <w:pPr>
        <w:pStyle w:val="Web"/>
        <w:shd w:val="clear" w:color="auto" w:fill="FFFFFF"/>
        <w:spacing w:before="0" w:beforeAutospacing="0" w:after="240" w:afterAutospacing="0"/>
        <w:ind w:left="108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5.  Ἔστησαν τρόπαιον ὡς νενικηκότες.</w:t>
      </w:r>
      <w:r>
        <w:rPr>
          <w:rFonts w:ascii="Roboto" w:hAnsi="Roboto"/>
          <w:color w:val="111111"/>
          <w:sz w:val="26"/>
          <w:szCs w:val="26"/>
        </w:rPr>
        <w:br/>
      </w:r>
      <w:r>
        <w:rPr>
          <w:rFonts w:ascii="Roboto" w:hAnsi="Roboto"/>
          <w:color w:val="111111"/>
          <w:sz w:val="26"/>
          <w:szCs w:val="26"/>
        </w:rPr>
        <w:br/>
        <w:t>6. Οἱ Ἕλληνες παρεσκευάζοντο ὡς δεξόμενοι αὐτόν.</w:t>
      </w:r>
    </w:p>
    <w:p w:rsidR="009773FB" w:rsidRDefault="009773FB" w:rsidP="009773FB">
      <w:pPr>
        <w:pStyle w:val="Web"/>
        <w:shd w:val="clear" w:color="auto" w:fill="FFFFFF"/>
        <w:spacing w:before="0" w:beforeAutospacing="0" w:after="240" w:afterAutospacing="0"/>
        <w:ind w:left="1080"/>
        <w:rPr>
          <w:rFonts w:ascii="Roboto" w:hAnsi="Roboto"/>
          <w:color w:val="111111"/>
          <w:sz w:val="26"/>
          <w:szCs w:val="26"/>
        </w:rPr>
      </w:pPr>
      <w:r>
        <w:rPr>
          <w:rFonts w:ascii="Roboto" w:hAnsi="Roboto"/>
          <w:color w:val="111111"/>
          <w:sz w:val="26"/>
          <w:szCs w:val="26"/>
        </w:rPr>
        <w:br/>
        <w:t>7. Ἐλθόντος τοῦ θανάτου οὐδεὶς βούλεται ἀποθανεῖν.</w:t>
      </w:r>
    </w:p>
    <w:p w:rsidR="00DF20A5" w:rsidRPr="00DF20A5" w:rsidRDefault="009773FB" w:rsidP="009773FB">
      <w:pPr>
        <w:pStyle w:val="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773FB">
        <w:rPr>
          <w:rFonts w:ascii="Roboto" w:hAnsi="Roboto"/>
          <w:color w:val="111111"/>
          <w:sz w:val="26"/>
          <w:szCs w:val="26"/>
        </w:rPr>
        <w:br/>
      </w: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F20A5" w:rsidRDefault="00DF20A5" w:rsidP="00DF20A5">
      <w:pPr>
        <w:spacing w:after="0" w:line="390" w:lineRule="atLeast"/>
        <w:ind w:left="75" w:right="75" w:firstLine="240"/>
        <w:jc w:val="both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</w:p>
    <w:p w:rsidR="00DF20A5" w:rsidRPr="00DF20A5" w:rsidRDefault="00DF20A5" w:rsidP="00DF20A5">
      <w:pPr>
        <w:spacing w:after="0" w:line="390" w:lineRule="atLeast"/>
        <w:ind w:left="75" w:right="75" w:firstLine="240"/>
        <w:jc w:val="right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Γεωργία Μαυρομανωλάκη</w:t>
      </w:r>
    </w:p>
    <w:p w:rsidR="00DF20A5" w:rsidRDefault="00DF20A5">
      <w:pPr>
        <w:rPr>
          <w:b/>
          <w:sz w:val="24"/>
          <w:szCs w:val="24"/>
        </w:rPr>
      </w:pPr>
    </w:p>
    <w:p w:rsidR="00DF20A5" w:rsidRPr="00DF20A5" w:rsidRDefault="00DF20A5">
      <w:pPr>
        <w:rPr>
          <w:b/>
          <w:sz w:val="24"/>
          <w:szCs w:val="24"/>
        </w:rPr>
      </w:pPr>
    </w:p>
    <w:sectPr w:rsidR="00DF20A5" w:rsidRPr="00DF20A5" w:rsidSect="00F626E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66" w:rsidRDefault="00C81866" w:rsidP="00DF20A5">
      <w:pPr>
        <w:spacing w:after="0" w:line="240" w:lineRule="auto"/>
      </w:pPr>
      <w:r>
        <w:separator/>
      </w:r>
    </w:p>
  </w:endnote>
  <w:endnote w:type="continuationSeparator" w:id="1">
    <w:p w:rsidR="00C81866" w:rsidRDefault="00C81866" w:rsidP="00D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66" w:rsidRDefault="00C81866" w:rsidP="00DF20A5">
      <w:pPr>
        <w:spacing w:after="0" w:line="240" w:lineRule="auto"/>
      </w:pPr>
      <w:r>
        <w:separator/>
      </w:r>
    </w:p>
  </w:footnote>
  <w:footnote w:type="continuationSeparator" w:id="1">
    <w:p w:rsidR="00C81866" w:rsidRDefault="00C81866" w:rsidP="00DF2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A5" w:rsidRDefault="00DF20A5">
    <w:pPr>
      <w:pStyle w:val="a3"/>
    </w:pPr>
    <w:r>
      <w:t xml:space="preserve">ΕΝΟΤΗΤΑ 9 </w:t>
    </w:r>
  </w:p>
  <w:p w:rsidR="00DF20A5" w:rsidRDefault="00DF20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60E8"/>
    <w:multiLevelType w:val="multilevel"/>
    <w:tmpl w:val="057E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37BAD"/>
    <w:multiLevelType w:val="hybridMultilevel"/>
    <w:tmpl w:val="C518AC6E"/>
    <w:lvl w:ilvl="0" w:tplc="6492B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95" w:hanging="360"/>
      </w:pPr>
    </w:lvl>
    <w:lvl w:ilvl="2" w:tplc="0408001B" w:tentative="1">
      <w:start w:val="1"/>
      <w:numFmt w:val="lowerRoman"/>
      <w:lvlText w:val="%3."/>
      <w:lvlJc w:val="right"/>
      <w:pPr>
        <w:ind w:left="2115" w:hanging="180"/>
      </w:pPr>
    </w:lvl>
    <w:lvl w:ilvl="3" w:tplc="0408000F" w:tentative="1">
      <w:start w:val="1"/>
      <w:numFmt w:val="decimal"/>
      <w:lvlText w:val="%4."/>
      <w:lvlJc w:val="left"/>
      <w:pPr>
        <w:ind w:left="2835" w:hanging="360"/>
      </w:pPr>
    </w:lvl>
    <w:lvl w:ilvl="4" w:tplc="04080019" w:tentative="1">
      <w:start w:val="1"/>
      <w:numFmt w:val="lowerLetter"/>
      <w:lvlText w:val="%5."/>
      <w:lvlJc w:val="left"/>
      <w:pPr>
        <w:ind w:left="3555" w:hanging="360"/>
      </w:pPr>
    </w:lvl>
    <w:lvl w:ilvl="5" w:tplc="0408001B" w:tentative="1">
      <w:start w:val="1"/>
      <w:numFmt w:val="lowerRoman"/>
      <w:lvlText w:val="%6."/>
      <w:lvlJc w:val="right"/>
      <w:pPr>
        <w:ind w:left="4275" w:hanging="180"/>
      </w:pPr>
    </w:lvl>
    <w:lvl w:ilvl="6" w:tplc="0408000F" w:tentative="1">
      <w:start w:val="1"/>
      <w:numFmt w:val="decimal"/>
      <w:lvlText w:val="%7."/>
      <w:lvlJc w:val="left"/>
      <w:pPr>
        <w:ind w:left="4995" w:hanging="360"/>
      </w:pPr>
    </w:lvl>
    <w:lvl w:ilvl="7" w:tplc="04080019" w:tentative="1">
      <w:start w:val="1"/>
      <w:numFmt w:val="lowerLetter"/>
      <w:lvlText w:val="%8."/>
      <w:lvlJc w:val="left"/>
      <w:pPr>
        <w:ind w:left="5715" w:hanging="360"/>
      </w:pPr>
    </w:lvl>
    <w:lvl w:ilvl="8" w:tplc="040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C6B0A12"/>
    <w:multiLevelType w:val="hybridMultilevel"/>
    <w:tmpl w:val="A6C09122"/>
    <w:lvl w:ilvl="0" w:tplc="3A2047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AA2D03"/>
    <w:multiLevelType w:val="hybridMultilevel"/>
    <w:tmpl w:val="3E78DED2"/>
    <w:lvl w:ilvl="0" w:tplc="5B789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0702E"/>
    <w:multiLevelType w:val="multilevel"/>
    <w:tmpl w:val="09380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0A5"/>
    <w:rsid w:val="000636E0"/>
    <w:rsid w:val="00167E49"/>
    <w:rsid w:val="009773FB"/>
    <w:rsid w:val="00BE0570"/>
    <w:rsid w:val="00C81866"/>
    <w:rsid w:val="00DF20A5"/>
    <w:rsid w:val="00F6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E9"/>
  </w:style>
  <w:style w:type="paragraph" w:styleId="4">
    <w:name w:val="heading 4"/>
    <w:basedOn w:val="a"/>
    <w:link w:val="4Char"/>
    <w:uiPriority w:val="9"/>
    <w:qFormat/>
    <w:rsid w:val="00DF20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0A5"/>
  </w:style>
  <w:style w:type="paragraph" w:styleId="a4">
    <w:name w:val="footer"/>
    <w:basedOn w:val="a"/>
    <w:link w:val="Char0"/>
    <w:uiPriority w:val="99"/>
    <w:semiHidden/>
    <w:unhideWhenUsed/>
    <w:rsid w:val="00DF2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F20A5"/>
  </w:style>
  <w:style w:type="paragraph" w:styleId="a5">
    <w:name w:val="Balloon Text"/>
    <w:basedOn w:val="a"/>
    <w:link w:val="Char1"/>
    <w:uiPriority w:val="99"/>
    <w:semiHidden/>
    <w:unhideWhenUsed/>
    <w:rsid w:val="00DF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F20A5"/>
    <w:rPr>
      <w:rFonts w:ascii="Tahoma" w:hAnsi="Tahoma" w:cs="Tahoma"/>
      <w:sz w:val="16"/>
      <w:szCs w:val="16"/>
    </w:rPr>
  </w:style>
  <w:style w:type="paragraph" w:customStyle="1" w:styleId="ca15x">
    <w:name w:val="ca15x"/>
    <w:basedOn w:val="a"/>
    <w:rsid w:val="00D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5">
    <w:name w:val="ca15"/>
    <w:basedOn w:val="a"/>
    <w:rsid w:val="00D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a15j">
    <w:name w:val="ca15j"/>
    <w:basedOn w:val="a"/>
    <w:rsid w:val="00D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DF20A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rsid w:val="00DF20A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DF20A5"/>
    <w:rPr>
      <w:b/>
      <w:bCs/>
    </w:rPr>
  </w:style>
  <w:style w:type="paragraph" w:styleId="Web">
    <w:name w:val="Normal (Web)"/>
    <w:basedOn w:val="a"/>
    <w:uiPriority w:val="99"/>
    <w:unhideWhenUsed/>
    <w:rsid w:val="00DF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LynxNet5</dc:creator>
  <cp:lastModifiedBy>LynxNet5</cp:lastModifiedBy>
  <cp:revision>1</cp:revision>
  <dcterms:created xsi:type="dcterms:W3CDTF">2020-09-18T15:47:00Z</dcterms:created>
  <dcterms:modified xsi:type="dcterms:W3CDTF">2020-09-18T16:07:00Z</dcterms:modified>
</cp:coreProperties>
</file>